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17146" w14:textId="75AFD8BA" w:rsidR="00EF74B4" w:rsidRPr="00A70F2C" w:rsidRDefault="00100B45" w:rsidP="00206204">
      <w:pPr>
        <w:rPr>
          <w:rFonts w:ascii="Helvetica" w:hAnsi="Helvetica"/>
        </w:rPr>
      </w:pPr>
      <w:r w:rsidRPr="00A70F2C">
        <w:rPr>
          <w:rFonts w:ascii="Helvetica" w:hAnsi="Helvetica"/>
        </w:rPr>
        <w:t xml:space="preserve"> </w:t>
      </w:r>
    </w:p>
    <w:p w14:paraId="7062ACEC" w14:textId="77777777" w:rsidR="00EF74B4" w:rsidRPr="00A70F2C" w:rsidRDefault="00EF74B4" w:rsidP="00EF74B4">
      <w:pPr>
        <w:rPr>
          <w:rFonts w:ascii="Helvetica" w:hAnsi="Helvetica"/>
        </w:rPr>
      </w:pPr>
    </w:p>
    <w:p w14:paraId="11A71926" w14:textId="77777777" w:rsidR="00EF74B4" w:rsidRPr="00A70F2C" w:rsidRDefault="00EF74B4" w:rsidP="00EF74B4">
      <w:pPr>
        <w:rPr>
          <w:rFonts w:ascii="Helvetica" w:hAnsi="Helvetica"/>
        </w:rPr>
      </w:pPr>
    </w:p>
    <w:p w14:paraId="102EE282" w14:textId="77777777" w:rsidR="00EF74B4" w:rsidRPr="00A70F2C" w:rsidRDefault="00EF74B4" w:rsidP="00EF74B4">
      <w:pPr>
        <w:rPr>
          <w:rFonts w:ascii="Helvetica" w:hAnsi="Helvetica"/>
        </w:rPr>
      </w:pPr>
    </w:p>
    <w:p w14:paraId="2C58D2EF" w14:textId="77777777" w:rsidR="00EF74B4" w:rsidRPr="00A70F2C" w:rsidRDefault="00EF74B4" w:rsidP="00EF74B4">
      <w:pPr>
        <w:rPr>
          <w:rFonts w:ascii="Helvetica" w:hAnsi="Helvetica"/>
        </w:rPr>
      </w:pPr>
    </w:p>
    <w:p w14:paraId="150635CB" w14:textId="77777777" w:rsidR="007D432F" w:rsidRPr="00A70F2C" w:rsidRDefault="007D432F" w:rsidP="007D432F">
      <w:pPr>
        <w:spacing w:before="240"/>
        <w:rPr>
          <w:rFonts w:ascii="Helvetica" w:hAnsi="Helvetica" w:cs="Segoe UI"/>
          <w:b/>
          <w:color w:val="CC8C09"/>
          <w:sz w:val="32"/>
          <w:szCs w:val="32"/>
        </w:rPr>
      </w:pPr>
      <w:r w:rsidRPr="00A70F2C">
        <w:rPr>
          <w:rFonts w:ascii="Helvetica" w:hAnsi="Helvetica" w:cs="Segoe UI"/>
          <w:b/>
          <w:color w:val="CC8C09"/>
          <w:sz w:val="32"/>
          <w:szCs w:val="32"/>
        </w:rPr>
        <w:t>Surety is the heartbeat of a construction company.</w:t>
      </w:r>
    </w:p>
    <w:p w14:paraId="2A4A62FF" w14:textId="77777777" w:rsidR="007D432F" w:rsidRPr="00A70F2C" w:rsidRDefault="007D432F" w:rsidP="007D432F">
      <w:pPr>
        <w:rPr>
          <w:rFonts w:ascii="Helvetica" w:hAnsi="Helvetica" w:cs="Segoe UI"/>
          <w:sz w:val="20"/>
          <w:szCs w:val="20"/>
        </w:rPr>
      </w:pPr>
    </w:p>
    <w:p w14:paraId="02C49799" w14:textId="77777777" w:rsidR="007D432F" w:rsidRPr="00A70F2C" w:rsidRDefault="007D432F" w:rsidP="007D432F">
      <w:pPr>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The ability to get a surety bond… when y</w:t>
      </w:r>
      <w:bookmarkStart w:id="0" w:name="_GoBack"/>
      <w:bookmarkEnd w:id="0"/>
      <w:r w:rsidRPr="00A70F2C">
        <w:rPr>
          <w:rFonts w:ascii="Helvetica" w:hAnsi="Helvetica" w:cs="Segoe UI"/>
          <w:color w:val="404040" w:themeColor="text1" w:themeTint="BF"/>
          <w:sz w:val="18"/>
          <w:szCs w:val="18"/>
        </w:rPr>
        <w:t>ou need it… for the right amount… is the lifeblood of survival.  Many people believe that is as simple as setting up an account.  However, the truth is that the surety market and construction environment is an ever evolving world.  Frequent changes take place in the surety space as to cash requirements, balance sheet expectations, WIP management, and type of work.  The worst thing that could happen would be to find out the best job you have ever seen can’t be done because you can’t get bonded.</w:t>
      </w:r>
    </w:p>
    <w:p w14:paraId="4AF87C95" w14:textId="77777777" w:rsidR="007D432F" w:rsidRPr="00A70F2C" w:rsidRDefault="007D432F" w:rsidP="007D432F">
      <w:pPr>
        <w:rPr>
          <w:rFonts w:ascii="Helvetica" w:hAnsi="Helvetica" w:cs="Segoe UI"/>
          <w:color w:val="404040" w:themeColor="text1" w:themeTint="BF"/>
          <w:sz w:val="18"/>
          <w:szCs w:val="18"/>
        </w:rPr>
      </w:pPr>
    </w:p>
    <w:p w14:paraId="39D03C38" w14:textId="77777777" w:rsidR="007D432F" w:rsidRPr="00A70F2C" w:rsidRDefault="007D432F" w:rsidP="007D432F">
      <w:pPr>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At INSURANCE AGENCY NAME, we have developed a system that proactively manages surety for a contractor to give them confidence they will have the best financial structure and best surety relationship to get the surety bonds when they need them.</w:t>
      </w:r>
    </w:p>
    <w:p w14:paraId="04A303E5" w14:textId="77777777" w:rsidR="007D432F" w:rsidRPr="00A70F2C" w:rsidRDefault="007D432F" w:rsidP="007D432F">
      <w:pPr>
        <w:rPr>
          <w:rFonts w:ascii="Helvetica" w:hAnsi="Helvetica" w:cs="Segoe UI"/>
          <w:color w:val="404040" w:themeColor="text1" w:themeTint="BF"/>
          <w:sz w:val="18"/>
          <w:szCs w:val="18"/>
        </w:rPr>
      </w:pPr>
    </w:p>
    <w:p w14:paraId="7CD9099B" w14:textId="40FF8476" w:rsidR="007D432F" w:rsidRPr="00A70F2C" w:rsidRDefault="007D432F" w:rsidP="007D432F">
      <w:pPr>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T</w:t>
      </w:r>
      <w:r w:rsidR="00A70F2C" w:rsidRPr="00A70F2C">
        <w:rPr>
          <w:rFonts w:ascii="Helvetica" w:hAnsi="Helvetica" w:cs="Segoe UI"/>
          <w:color w:val="404040" w:themeColor="text1" w:themeTint="BF"/>
          <w:sz w:val="18"/>
          <w:szCs w:val="18"/>
        </w:rPr>
        <w:t>he Surety Performance System™</w:t>
      </w:r>
      <w:r w:rsidRPr="00A70F2C">
        <w:rPr>
          <w:rFonts w:ascii="Helvetica" w:hAnsi="Helvetica" w:cs="Segoe UI"/>
          <w:color w:val="404040" w:themeColor="text1" w:themeTint="BF"/>
          <w:sz w:val="18"/>
          <w:szCs w:val="18"/>
        </w:rPr>
        <w:t xml:space="preserve"> will conduct a thorough assessment of your financials, current operational</w:t>
      </w:r>
      <w:r w:rsidR="00A70F2C" w:rsidRPr="00A70F2C">
        <w:rPr>
          <w:rFonts w:ascii="Helvetica" w:hAnsi="Helvetica" w:cs="Segoe UI"/>
          <w:color w:val="404040" w:themeColor="text1" w:themeTint="BF"/>
          <w:sz w:val="18"/>
          <w:szCs w:val="18"/>
        </w:rPr>
        <w:t xml:space="preserve"> plans, future growth plans, as well as</w:t>
      </w:r>
      <w:r w:rsidRPr="00A70F2C">
        <w:rPr>
          <w:rFonts w:ascii="Helvetica" w:hAnsi="Helvetica" w:cs="Segoe UI"/>
          <w:color w:val="404040" w:themeColor="text1" w:themeTint="BF"/>
          <w:sz w:val="18"/>
          <w:szCs w:val="18"/>
        </w:rPr>
        <w:t xml:space="preserve"> complete an annual plan for maximizing your potential. </w:t>
      </w:r>
    </w:p>
    <w:p w14:paraId="2D527FF6" w14:textId="77777777" w:rsidR="007D432F" w:rsidRPr="00A70F2C" w:rsidRDefault="007D432F" w:rsidP="007D432F">
      <w:pPr>
        <w:rPr>
          <w:rFonts w:ascii="Helvetica" w:hAnsi="Helvetica" w:cs="Segoe UI"/>
          <w:color w:val="404040" w:themeColor="text1" w:themeTint="BF"/>
          <w:sz w:val="18"/>
          <w:szCs w:val="18"/>
        </w:rPr>
      </w:pPr>
    </w:p>
    <w:p w14:paraId="5103D58F" w14:textId="77777777" w:rsidR="007D432F" w:rsidRPr="00A70F2C" w:rsidRDefault="007D432F" w:rsidP="007D432F">
      <w:pPr>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Our overall goals are to help you:</w:t>
      </w:r>
    </w:p>
    <w:p w14:paraId="1B24BCF2" w14:textId="77777777" w:rsidR="007D432F" w:rsidRPr="00A70F2C" w:rsidRDefault="007D432F" w:rsidP="007D432F">
      <w:pPr>
        <w:rPr>
          <w:rFonts w:ascii="Helvetica" w:hAnsi="Helvetica" w:cs="Segoe UI"/>
          <w:sz w:val="18"/>
          <w:szCs w:val="18"/>
        </w:rPr>
      </w:pPr>
    </w:p>
    <w:p w14:paraId="6B715C43" w14:textId="77777777" w:rsidR="007D432F" w:rsidRPr="00A70F2C" w:rsidRDefault="007D432F" w:rsidP="007D432F">
      <w:pPr>
        <w:pStyle w:val="ListParagraph"/>
        <w:numPr>
          <w:ilvl w:val="0"/>
          <w:numId w:val="6"/>
        </w:numPr>
        <w:rPr>
          <w:rFonts w:ascii="Helvetica" w:hAnsi="Helvetica" w:cs="Segoe UI"/>
          <w:color w:val="404040" w:themeColor="text1" w:themeTint="BF"/>
          <w:sz w:val="18"/>
          <w:szCs w:val="18"/>
        </w:rPr>
      </w:pPr>
      <w:r w:rsidRPr="00A70F2C">
        <w:rPr>
          <w:rFonts w:ascii="Helvetica" w:hAnsi="Helvetica" w:cs="Segoe UI"/>
          <w:b/>
          <w:color w:val="404040" w:themeColor="text1" w:themeTint="BF"/>
          <w:sz w:val="18"/>
          <w:szCs w:val="18"/>
        </w:rPr>
        <w:t>Secure Larger Jobs</w:t>
      </w:r>
      <w:r w:rsidRPr="00A70F2C">
        <w:rPr>
          <w:rFonts w:ascii="Helvetica" w:hAnsi="Helvetica" w:cs="Segoe UI"/>
          <w:color w:val="404040" w:themeColor="text1" w:themeTint="BF"/>
          <w:sz w:val="18"/>
          <w:szCs w:val="18"/>
        </w:rPr>
        <w:t xml:space="preserve"> </w:t>
      </w:r>
    </w:p>
    <w:p w14:paraId="76ED7A10" w14:textId="77777777" w:rsidR="007D432F" w:rsidRPr="00A70F2C" w:rsidRDefault="007D432F" w:rsidP="007D432F">
      <w:pPr>
        <w:pStyle w:val="ListParagraph"/>
        <w:numPr>
          <w:ilvl w:val="0"/>
          <w:numId w:val="6"/>
        </w:numPr>
        <w:rPr>
          <w:rFonts w:ascii="Helvetica" w:hAnsi="Helvetica" w:cs="Segoe UI"/>
          <w:color w:val="404040" w:themeColor="text1" w:themeTint="BF"/>
          <w:sz w:val="18"/>
          <w:szCs w:val="18"/>
        </w:rPr>
      </w:pPr>
      <w:r w:rsidRPr="00A70F2C">
        <w:rPr>
          <w:rFonts w:ascii="Helvetica" w:hAnsi="Helvetica" w:cs="Segoe UI"/>
          <w:b/>
          <w:color w:val="404040" w:themeColor="text1" w:themeTint="BF"/>
          <w:sz w:val="18"/>
          <w:szCs w:val="18"/>
        </w:rPr>
        <w:t>Increase Bond Capacity</w:t>
      </w:r>
      <w:r w:rsidRPr="00A70F2C">
        <w:rPr>
          <w:rFonts w:ascii="Helvetica" w:hAnsi="Helvetica" w:cs="Segoe UI"/>
          <w:color w:val="404040" w:themeColor="text1" w:themeTint="BF"/>
          <w:sz w:val="18"/>
          <w:szCs w:val="18"/>
        </w:rPr>
        <w:t xml:space="preserve"> </w:t>
      </w:r>
    </w:p>
    <w:p w14:paraId="0F709E18" w14:textId="336DC9FD" w:rsidR="007D432F" w:rsidRPr="00A70F2C" w:rsidRDefault="007D432F" w:rsidP="007D432F">
      <w:pPr>
        <w:pStyle w:val="ListParagraph"/>
        <w:numPr>
          <w:ilvl w:val="0"/>
          <w:numId w:val="6"/>
        </w:numPr>
        <w:rPr>
          <w:rFonts w:ascii="Helvetica" w:hAnsi="Helvetica" w:cs="Segoe UI"/>
          <w:b/>
          <w:color w:val="404040" w:themeColor="text1" w:themeTint="BF"/>
          <w:sz w:val="18"/>
          <w:szCs w:val="18"/>
        </w:rPr>
      </w:pPr>
      <w:r w:rsidRPr="00A70F2C">
        <w:rPr>
          <w:rFonts w:ascii="Helvetica" w:hAnsi="Helvetica" w:cs="Segoe UI"/>
          <w:b/>
          <w:color w:val="404040" w:themeColor="text1" w:themeTint="BF"/>
          <w:sz w:val="18"/>
          <w:szCs w:val="18"/>
        </w:rPr>
        <w:t>Have backup in place for increased security of getting that crit</w:t>
      </w:r>
      <w:r w:rsidR="00A70F2C">
        <w:rPr>
          <w:rFonts w:ascii="Helvetica" w:hAnsi="Helvetica" w:cs="Segoe UI"/>
          <w:b/>
          <w:color w:val="404040" w:themeColor="text1" w:themeTint="BF"/>
          <w:sz w:val="18"/>
          <w:szCs w:val="18"/>
        </w:rPr>
        <w:t>ical bond</w:t>
      </w:r>
    </w:p>
    <w:p w14:paraId="6E6DAFF2" w14:textId="602868DB" w:rsidR="007D432F" w:rsidRPr="00A70F2C" w:rsidRDefault="007D432F" w:rsidP="007D432F">
      <w:pPr>
        <w:pStyle w:val="ListParagraph"/>
        <w:numPr>
          <w:ilvl w:val="0"/>
          <w:numId w:val="6"/>
        </w:numPr>
        <w:rPr>
          <w:rFonts w:ascii="Helvetica" w:hAnsi="Helvetica" w:cs="Segoe UI"/>
          <w:b/>
          <w:color w:val="404040" w:themeColor="text1" w:themeTint="BF"/>
          <w:sz w:val="18"/>
          <w:szCs w:val="18"/>
        </w:rPr>
      </w:pPr>
      <w:r w:rsidRPr="00A70F2C">
        <w:rPr>
          <w:rFonts w:ascii="Helvetica" w:hAnsi="Helvetica" w:cs="Segoe UI"/>
          <w:b/>
          <w:color w:val="404040" w:themeColor="text1" w:themeTint="BF"/>
          <w:sz w:val="18"/>
          <w:szCs w:val="18"/>
        </w:rPr>
        <w:t>Maintain great relatio</w:t>
      </w:r>
      <w:r w:rsidR="00A70F2C">
        <w:rPr>
          <w:rFonts w:ascii="Helvetica" w:hAnsi="Helvetica" w:cs="Segoe UI"/>
          <w:b/>
          <w:color w:val="404040" w:themeColor="text1" w:themeTint="BF"/>
          <w:sz w:val="18"/>
          <w:szCs w:val="18"/>
        </w:rPr>
        <w:t>nships with surety underwriters</w:t>
      </w:r>
    </w:p>
    <w:p w14:paraId="0103BDB8" w14:textId="695B33FC" w:rsidR="007D432F" w:rsidRPr="00A70F2C" w:rsidRDefault="007D432F" w:rsidP="007D432F">
      <w:pPr>
        <w:pStyle w:val="ListParagraph"/>
        <w:numPr>
          <w:ilvl w:val="0"/>
          <w:numId w:val="6"/>
        </w:numPr>
        <w:rPr>
          <w:rFonts w:ascii="Helvetica" w:hAnsi="Helvetica" w:cs="Segoe UI"/>
          <w:b/>
          <w:color w:val="404040" w:themeColor="text1" w:themeTint="BF"/>
          <w:sz w:val="18"/>
          <w:szCs w:val="18"/>
        </w:rPr>
      </w:pPr>
      <w:r w:rsidRPr="00A70F2C">
        <w:rPr>
          <w:rFonts w:ascii="Helvetica" w:hAnsi="Helvetica" w:cs="Segoe UI"/>
          <w:b/>
          <w:color w:val="404040" w:themeColor="text1" w:themeTint="BF"/>
          <w:sz w:val="18"/>
          <w:szCs w:val="18"/>
        </w:rPr>
        <w:t>Be proactive vs rea</w:t>
      </w:r>
      <w:r w:rsidR="00A70F2C">
        <w:rPr>
          <w:rFonts w:ascii="Helvetica" w:hAnsi="Helvetica" w:cs="Segoe UI"/>
          <w:b/>
          <w:color w:val="404040" w:themeColor="text1" w:themeTint="BF"/>
          <w:sz w:val="18"/>
          <w:szCs w:val="18"/>
        </w:rPr>
        <w:t>ctive in the surety bond market</w:t>
      </w:r>
    </w:p>
    <w:p w14:paraId="0791F76A" w14:textId="77777777" w:rsidR="007D432F" w:rsidRPr="00A70F2C" w:rsidRDefault="007D432F" w:rsidP="007D432F">
      <w:pPr>
        <w:pStyle w:val="ListParagraph"/>
        <w:rPr>
          <w:rFonts w:ascii="Helvetica" w:hAnsi="Helvetica" w:cs="Segoe UI"/>
          <w:b/>
          <w:sz w:val="20"/>
          <w:szCs w:val="20"/>
        </w:rPr>
      </w:pPr>
    </w:p>
    <w:p w14:paraId="05CD6080" w14:textId="77777777" w:rsidR="007D432F" w:rsidRPr="00A70F2C" w:rsidRDefault="007D432F" w:rsidP="007D432F">
      <w:pPr>
        <w:rPr>
          <w:rFonts w:ascii="Helvetica" w:hAnsi="Helvetica" w:cs="Segoe UI"/>
          <w:b/>
          <w:color w:val="CC8C09"/>
          <w:sz w:val="32"/>
          <w:szCs w:val="32"/>
        </w:rPr>
      </w:pPr>
      <w:r w:rsidRPr="00A70F2C">
        <w:rPr>
          <w:rFonts w:ascii="Helvetica" w:hAnsi="Helvetica" w:cs="Segoe UI"/>
          <w:b/>
          <w:color w:val="CC8C09"/>
          <w:sz w:val="32"/>
          <w:szCs w:val="32"/>
        </w:rPr>
        <w:t>The Surety Performance System™</w:t>
      </w:r>
    </w:p>
    <w:p w14:paraId="32FBB5F3" w14:textId="77777777" w:rsidR="007D432F" w:rsidRPr="00A70F2C" w:rsidRDefault="007D432F" w:rsidP="007D432F">
      <w:pPr>
        <w:rPr>
          <w:rFonts w:ascii="Helvetica" w:hAnsi="Helvetica" w:cs="Segoe UI"/>
          <w:color w:val="576966" w:themeColor="accent2" w:themeShade="BF"/>
          <w:sz w:val="18"/>
          <w:szCs w:val="18"/>
        </w:rPr>
      </w:pPr>
    </w:p>
    <w:p w14:paraId="7D800A3F" w14:textId="77777777" w:rsidR="007D432F" w:rsidRPr="00A70F2C" w:rsidRDefault="007D432F" w:rsidP="007D432F">
      <w:pPr>
        <w:pStyle w:val="ListParagraph"/>
        <w:numPr>
          <w:ilvl w:val="0"/>
          <w:numId w:val="7"/>
        </w:numPr>
        <w:spacing w:after="200"/>
        <w:rPr>
          <w:rFonts w:ascii="Helvetica" w:hAnsi="Helvetica" w:cs="Segoe UI"/>
          <w:color w:val="404040" w:themeColor="text1" w:themeTint="BF"/>
          <w:sz w:val="18"/>
          <w:szCs w:val="18"/>
        </w:rPr>
      </w:pPr>
      <w:r w:rsidRPr="00A70F2C">
        <w:rPr>
          <w:rFonts w:ascii="Helvetica" w:hAnsi="Helvetica" w:cs="Segoe UI"/>
          <w:b/>
          <w:noProof/>
          <w:color w:val="CC8C09"/>
          <w:sz w:val="32"/>
          <w:szCs w:val="32"/>
          <w:lang w:eastAsia="en-US"/>
        </w:rPr>
        <mc:AlternateContent>
          <mc:Choice Requires="wps">
            <w:drawing>
              <wp:anchor distT="0" distB="0" distL="114300" distR="114300" simplePos="0" relativeHeight="251659264" behindDoc="0" locked="0" layoutInCell="1" allowOverlap="1" wp14:anchorId="382409A0" wp14:editId="59922374">
                <wp:simplePos x="0" y="0"/>
                <wp:positionH relativeFrom="column">
                  <wp:posOffset>2863850</wp:posOffset>
                </wp:positionH>
                <wp:positionV relativeFrom="paragraph">
                  <wp:posOffset>58420</wp:posOffset>
                </wp:positionV>
                <wp:extent cx="3911600" cy="33147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9116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0F29C" w14:textId="77777777" w:rsidR="007D432F" w:rsidRDefault="007D432F" w:rsidP="007D432F">
                            <w:pPr>
                              <w:jc w:val="center"/>
                            </w:pPr>
                            <w:r w:rsidRPr="00CA06AB">
                              <w:rPr>
                                <w:rFonts w:ascii="Helvetica LT Std" w:hAnsi="Helvetica LT Std"/>
                                <w:noProof/>
                                <w:lang w:eastAsia="en-US"/>
                              </w:rPr>
                              <w:drawing>
                                <wp:inline distT="0" distB="0" distL="0" distR="0" wp14:anchorId="7E9EA746" wp14:editId="27842EDA">
                                  <wp:extent cx="3064510" cy="3223260"/>
                                  <wp:effectExtent l="0" t="0" r="889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6 at 3.15.27 PM.png"/>
                                          <pic:cNvPicPr/>
                                        </pic:nvPicPr>
                                        <pic:blipFill>
                                          <a:blip r:embed="rId7">
                                            <a:extLst>
                                              <a:ext uri="{28A0092B-C50C-407E-A947-70E740481C1C}">
                                                <a14:useLocalDpi xmlns:a14="http://schemas.microsoft.com/office/drawing/2010/main" val="0"/>
                                              </a:ext>
                                            </a:extLst>
                                          </a:blip>
                                          <a:stretch>
                                            <a:fillRect/>
                                          </a:stretch>
                                        </pic:blipFill>
                                        <pic:spPr>
                                          <a:xfrm>
                                            <a:off x="0" y="0"/>
                                            <a:ext cx="3064510" cy="322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409A0" id="_x0000_t202" coordsize="21600,21600" o:spt="202" path="m,l,21600r21600,l21600,xe">
                <v:stroke joinstyle="miter"/>
                <v:path gradientshapeok="t" o:connecttype="rect"/>
              </v:shapetype>
              <v:shape id="Text Box 23" o:spid="_x0000_s1026" type="#_x0000_t202" style="position:absolute;left:0;text-align:left;margin-left:225.5pt;margin-top:4.6pt;width:308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" filled="f" stroked="f">
                <v:textbox>
                  <w:txbxContent>
                    <w:p w14:paraId="03E0F29C" w14:textId="77777777" w:rsidR="007D432F" w:rsidRDefault="007D432F" w:rsidP="007D432F">
                      <w:pPr>
                        <w:jc w:val="center"/>
                      </w:pPr>
                      <w:r w:rsidRPr="00CA06AB">
                        <w:rPr>
                          <w:rFonts w:ascii="Helvetica LT Std" w:hAnsi="Helvetica LT Std"/>
                          <w:noProof/>
                          <w:lang w:eastAsia="en-US"/>
                        </w:rPr>
                        <w:drawing>
                          <wp:inline distT="0" distB="0" distL="0" distR="0" wp14:anchorId="7E9EA746" wp14:editId="27842EDA">
                            <wp:extent cx="3064510" cy="3223260"/>
                            <wp:effectExtent l="0" t="0" r="889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6 at 3.15.27 PM.png"/>
                                    <pic:cNvPicPr/>
                                  </pic:nvPicPr>
                                  <pic:blipFill>
                                    <a:blip r:embed="rId7">
                                      <a:extLst>
                                        <a:ext uri="{28A0092B-C50C-407E-A947-70E740481C1C}">
                                          <a14:useLocalDpi xmlns:a14="http://schemas.microsoft.com/office/drawing/2010/main" val="0"/>
                                        </a:ext>
                                      </a:extLst>
                                    </a:blip>
                                    <a:stretch>
                                      <a:fillRect/>
                                    </a:stretch>
                                  </pic:blipFill>
                                  <pic:spPr>
                                    <a:xfrm>
                                      <a:off x="0" y="0"/>
                                      <a:ext cx="3064510" cy="3223260"/>
                                    </a:xfrm>
                                    <a:prstGeom prst="rect">
                                      <a:avLst/>
                                    </a:prstGeom>
                                  </pic:spPr>
                                </pic:pic>
                              </a:graphicData>
                            </a:graphic>
                          </wp:inline>
                        </w:drawing>
                      </w:r>
                    </w:p>
                  </w:txbxContent>
                </v:textbox>
                <w10:wrap type="square"/>
              </v:shape>
            </w:pict>
          </mc:Fallback>
        </mc:AlternateContent>
      </w:r>
      <w:r w:rsidRPr="00A70F2C">
        <w:rPr>
          <w:rFonts w:ascii="Helvetica" w:hAnsi="Helvetica" w:cs="Segoe UI"/>
          <w:color w:val="404040" w:themeColor="text1" w:themeTint="BF"/>
          <w:sz w:val="18"/>
          <w:szCs w:val="18"/>
        </w:rPr>
        <w:t>Initial Surety Review</w:t>
      </w:r>
    </w:p>
    <w:p w14:paraId="341608B6" w14:textId="1756B4DD"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Financial review and b</w:t>
      </w:r>
      <w:r w:rsidR="007D432F" w:rsidRPr="00A70F2C">
        <w:rPr>
          <w:rFonts w:ascii="Helvetica" w:hAnsi="Helvetica" w:cs="Segoe UI"/>
          <w:color w:val="404040" w:themeColor="text1" w:themeTint="BF"/>
          <w:sz w:val="18"/>
          <w:szCs w:val="18"/>
        </w:rPr>
        <w:t>enchmark</w:t>
      </w:r>
    </w:p>
    <w:p w14:paraId="4C590CE7" w14:textId="6C1C70DE"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Credit a</w:t>
      </w:r>
      <w:r w:rsidR="007D432F" w:rsidRPr="00A70F2C">
        <w:rPr>
          <w:rFonts w:ascii="Helvetica" w:hAnsi="Helvetica" w:cs="Segoe UI"/>
          <w:color w:val="404040" w:themeColor="text1" w:themeTint="BF"/>
          <w:sz w:val="18"/>
          <w:szCs w:val="18"/>
        </w:rPr>
        <w:t xml:space="preserve">nalysis </w:t>
      </w:r>
    </w:p>
    <w:p w14:paraId="0F50CB25" w14:textId="49492A41"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Current w</w:t>
      </w:r>
      <w:r w:rsidR="007D432F" w:rsidRPr="00A70F2C">
        <w:rPr>
          <w:rFonts w:ascii="Helvetica" w:hAnsi="Helvetica" w:cs="Segoe UI"/>
          <w:color w:val="404040" w:themeColor="text1" w:themeTint="BF"/>
          <w:sz w:val="18"/>
          <w:szCs w:val="18"/>
        </w:rPr>
        <w:t>ork</w:t>
      </w:r>
    </w:p>
    <w:p w14:paraId="298DFA06" w14:textId="2B92C0EF"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Work p</w:t>
      </w:r>
      <w:r w:rsidR="007D432F" w:rsidRPr="00A70F2C">
        <w:rPr>
          <w:rFonts w:ascii="Helvetica" w:hAnsi="Helvetica" w:cs="Segoe UI"/>
          <w:color w:val="404040" w:themeColor="text1" w:themeTint="BF"/>
          <w:sz w:val="18"/>
          <w:szCs w:val="18"/>
        </w:rPr>
        <w:t xml:space="preserve">erformance </w:t>
      </w:r>
      <w:r w:rsidRPr="00A70F2C">
        <w:rPr>
          <w:rFonts w:ascii="Helvetica" w:hAnsi="Helvetica" w:cs="Segoe UI"/>
          <w:color w:val="404040" w:themeColor="text1" w:themeTint="BF"/>
          <w:sz w:val="18"/>
          <w:szCs w:val="18"/>
        </w:rPr>
        <w:t>r</w:t>
      </w:r>
      <w:r w:rsidR="007D432F" w:rsidRPr="00A70F2C">
        <w:rPr>
          <w:rFonts w:ascii="Helvetica" w:hAnsi="Helvetica" w:cs="Segoe UI"/>
          <w:color w:val="404040" w:themeColor="text1" w:themeTint="BF"/>
          <w:sz w:val="18"/>
          <w:szCs w:val="18"/>
        </w:rPr>
        <w:t>eview</w:t>
      </w:r>
    </w:p>
    <w:p w14:paraId="46BD78C5" w14:textId="67FAB6B0"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Projected and future work p</w:t>
      </w:r>
      <w:r w:rsidR="007D432F" w:rsidRPr="00A70F2C">
        <w:rPr>
          <w:rFonts w:ascii="Helvetica" w:hAnsi="Helvetica" w:cs="Segoe UI"/>
          <w:color w:val="404040" w:themeColor="text1" w:themeTint="BF"/>
          <w:sz w:val="18"/>
          <w:szCs w:val="18"/>
        </w:rPr>
        <w:t>lan</w:t>
      </w:r>
    </w:p>
    <w:p w14:paraId="6DCEE712" w14:textId="53DD3F05"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Capacity r</w:t>
      </w:r>
      <w:r w:rsidR="007D432F" w:rsidRPr="00A70F2C">
        <w:rPr>
          <w:rFonts w:ascii="Helvetica" w:hAnsi="Helvetica" w:cs="Segoe UI"/>
          <w:color w:val="404040" w:themeColor="text1" w:themeTint="BF"/>
          <w:sz w:val="18"/>
          <w:szCs w:val="18"/>
        </w:rPr>
        <w:t>eview</w:t>
      </w:r>
    </w:p>
    <w:p w14:paraId="35837EA6" w14:textId="27A3CC92"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Backup r</w:t>
      </w:r>
      <w:r w:rsidR="007D432F" w:rsidRPr="00A70F2C">
        <w:rPr>
          <w:rFonts w:ascii="Helvetica" w:hAnsi="Helvetica" w:cs="Segoe UI"/>
          <w:color w:val="404040" w:themeColor="text1" w:themeTint="BF"/>
          <w:sz w:val="18"/>
          <w:szCs w:val="18"/>
        </w:rPr>
        <w:t>eview</w:t>
      </w:r>
    </w:p>
    <w:p w14:paraId="109E695E" w14:textId="77777777" w:rsidR="007D432F" w:rsidRPr="00A70F2C" w:rsidRDefault="007D432F" w:rsidP="007D432F">
      <w:pPr>
        <w:pStyle w:val="ListParagraph"/>
        <w:numPr>
          <w:ilvl w:val="0"/>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Market Analysis</w:t>
      </w:r>
    </w:p>
    <w:p w14:paraId="283D046E" w14:textId="77777777" w:rsidR="007D432F" w:rsidRPr="00A70F2C" w:rsidRDefault="007D432F"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Trends in the market place</w:t>
      </w:r>
    </w:p>
    <w:p w14:paraId="47DFBC2A" w14:textId="77777777" w:rsidR="007D432F" w:rsidRPr="00A70F2C" w:rsidRDefault="007D432F"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 xml:space="preserve">Quarterly update </w:t>
      </w:r>
    </w:p>
    <w:p w14:paraId="6D4266AE" w14:textId="3EC198B7"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Proprietary market d</w:t>
      </w:r>
      <w:r w:rsidR="007D432F" w:rsidRPr="00A70F2C">
        <w:rPr>
          <w:rFonts w:ascii="Helvetica" w:hAnsi="Helvetica" w:cs="Segoe UI"/>
          <w:color w:val="404040" w:themeColor="text1" w:themeTint="BF"/>
          <w:sz w:val="18"/>
          <w:szCs w:val="18"/>
        </w:rPr>
        <w:t>ata</w:t>
      </w:r>
    </w:p>
    <w:p w14:paraId="276A0FBB" w14:textId="6AE5BD8A"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Bond credit m</w:t>
      </w:r>
      <w:r w:rsidR="007D432F" w:rsidRPr="00A70F2C">
        <w:rPr>
          <w:rFonts w:ascii="Helvetica" w:hAnsi="Helvetica" w:cs="Segoe UI"/>
          <w:color w:val="404040" w:themeColor="text1" w:themeTint="BF"/>
          <w:sz w:val="18"/>
          <w:szCs w:val="18"/>
        </w:rPr>
        <w:t>anagement</w:t>
      </w:r>
    </w:p>
    <w:p w14:paraId="2AEA4FC7" w14:textId="77777777" w:rsidR="007D432F" w:rsidRPr="00A70F2C" w:rsidRDefault="007D432F" w:rsidP="007D432F">
      <w:pPr>
        <w:pStyle w:val="ListParagraph"/>
        <w:numPr>
          <w:ilvl w:val="0"/>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Plan</w:t>
      </w:r>
    </w:p>
    <w:p w14:paraId="7A034CC5" w14:textId="03CC734D"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Consulting a</w:t>
      </w:r>
      <w:r w:rsidR="007D432F" w:rsidRPr="00A70F2C">
        <w:rPr>
          <w:rFonts w:ascii="Helvetica" w:hAnsi="Helvetica" w:cs="Segoe UI"/>
          <w:color w:val="404040" w:themeColor="text1" w:themeTint="BF"/>
          <w:sz w:val="18"/>
          <w:szCs w:val="18"/>
        </w:rPr>
        <w:t>dvice</w:t>
      </w:r>
    </w:p>
    <w:p w14:paraId="6BA52CB5" w14:textId="524A1DB3"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Surety improvement s</w:t>
      </w:r>
      <w:r w:rsidR="007D432F" w:rsidRPr="00A70F2C">
        <w:rPr>
          <w:rFonts w:ascii="Helvetica" w:hAnsi="Helvetica" w:cs="Segoe UI"/>
          <w:color w:val="404040" w:themeColor="text1" w:themeTint="BF"/>
          <w:sz w:val="18"/>
          <w:szCs w:val="18"/>
        </w:rPr>
        <w:t>trategies</w:t>
      </w:r>
    </w:p>
    <w:p w14:paraId="3AB1016F" w14:textId="52157EB1"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Financial r</w:t>
      </w:r>
      <w:r w:rsidR="007D432F" w:rsidRPr="00A70F2C">
        <w:rPr>
          <w:rFonts w:ascii="Helvetica" w:hAnsi="Helvetica" w:cs="Segoe UI"/>
          <w:color w:val="404040" w:themeColor="text1" w:themeTint="BF"/>
          <w:sz w:val="18"/>
          <w:szCs w:val="18"/>
        </w:rPr>
        <w:t>ecommendations</w:t>
      </w:r>
    </w:p>
    <w:p w14:paraId="3390C588" w14:textId="77777777" w:rsidR="007D432F" w:rsidRPr="00A70F2C" w:rsidRDefault="007D432F" w:rsidP="007D432F">
      <w:pPr>
        <w:pStyle w:val="ListParagraph"/>
        <w:numPr>
          <w:ilvl w:val="0"/>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Performance Review</w:t>
      </w:r>
    </w:p>
    <w:p w14:paraId="53F6D3D0" w14:textId="77777777" w:rsidR="007D432F" w:rsidRPr="00A70F2C" w:rsidRDefault="007D432F"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Review results of plan</w:t>
      </w:r>
    </w:p>
    <w:p w14:paraId="3F28B17F" w14:textId="77777777" w:rsidR="007D432F" w:rsidRPr="00A70F2C" w:rsidRDefault="007D432F"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Determine what is working</w:t>
      </w:r>
    </w:p>
    <w:p w14:paraId="172E344C" w14:textId="77777777" w:rsidR="007D432F" w:rsidRPr="00A70F2C" w:rsidRDefault="007D432F"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Determine what is not working</w:t>
      </w:r>
    </w:p>
    <w:p w14:paraId="6299154F" w14:textId="77777777" w:rsidR="007D432F" w:rsidRPr="00A70F2C" w:rsidRDefault="007D432F" w:rsidP="007D432F">
      <w:pPr>
        <w:pStyle w:val="ListParagraph"/>
        <w:numPr>
          <w:ilvl w:val="0"/>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Additional Resources</w:t>
      </w:r>
    </w:p>
    <w:p w14:paraId="25D35F67" w14:textId="2429EBC4" w:rsidR="007D432F" w:rsidRPr="00A70F2C" w:rsidRDefault="00A70F2C" w:rsidP="007D432F">
      <w:pPr>
        <w:pStyle w:val="ListParagraph"/>
        <w:numPr>
          <w:ilvl w:val="1"/>
          <w:numId w:val="7"/>
        </w:numPr>
        <w:spacing w:after="200"/>
        <w:rPr>
          <w:rFonts w:ascii="Helvetica" w:hAnsi="Helvetica" w:cs="Segoe UI"/>
          <w:color w:val="404040" w:themeColor="text1" w:themeTint="BF"/>
          <w:sz w:val="18"/>
          <w:szCs w:val="18"/>
        </w:rPr>
      </w:pPr>
      <w:r w:rsidRPr="00A70F2C">
        <w:rPr>
          <w:rFonts w:ascii="Helvetica" w:hAnsi="Helvetica" w:cs="Segoe UI"/>
          <w:color w:val="404040" w:themeColor="text1" w:themeTint="BF"/>
          <w:sz w:val="18"/>
          <w:szCs w:val="18"/>
        </w:rPr>
        <w:t>Crisis m</w:t>
      </w:r>
      <w:r w:rsidR="007D432F" w:rsidRPr="00A70F2C">
        <w:rPr>
          <w:rFonts w:ascii="Helvetica" w:hAnsi="Helvetica" w:cs="Segoe UI"/>
          <w:color w:val="404040" w:themeColor="text1" w:themeTint="BF"/>
          <w:sz w:val="18"/>
          <w:szCs w:val="18"/>
        </w:rPr>
        <w:t>anagement</w:t>
      </w:r>
    </w:p>
    <w:p w14:paraId="38FFB4E1" w14:textId="6FC500B7" w:rsidR="007D432F" w:rsidRPr="00A70F2C" w:rsidRDefault="00A70F2C" w:rsidP="007D432F">
      <w:pPr>
        <w:pStyle w:val="ListParagraph"/>
        <w:numPr>
          <w:ilvl w:val="1"/>
          <w:numId w:val="7"/>
        </w:numPr>
        <w:spacing w:after="200"/>
        <w:rPr>
          <w:rFonts w:ascii="Helvetica" w:hAnsi="Helvetica" w:cs="Segoe UI"/>
          <w:bCs/>
          <w:color w:val="404040" w:themeColor="text1" w:themeTint="BF"/>
          <w:sz w:val="18"/>
          <w:szCs w:val="18"/>
        </w:rPr>
      </w:pPr>
      <w:r w:rsidRPr="00A70F2C">
        <w:rPr>
          <w:rFonts w:ascii="Helvetica" w:hAnsi="Helvetica" w:cs="Segoe UI"/>
          <w:bCs/>
          <w:color w:val="404040" w:themeColor="text1" w:themeTint="BF"/>
          <w:sz w:val="18"/>
          <w:szCs w:val="18"/>
        </w:rPr>
        <w:t>Business perpetuation p</w:t>
      </w:r>
      <w:r w:rsidR="007D432F" w:rsidRPr="00A70F2C">
        <w:rPr>
          <w:rFonts w:ascii="Helvetica" w:hAnsi="Helvetica" w:cs="Segoe UI"/>
          <w:bCs/>
          <w:color w:val="404040" w:themeColor="text1" w:themeTint="BF"/>
          <w:sz w:val="18"/>
          <w:szCs w:val="18"/>
        </w:rPr>
        <w:t>lanning</w:t>
      </w:r>
    </w:p>
    <w:p w14:paraId="44CAFA00" w14:textId="6BB0C133" w:rsidR="007D432F" w:rsidRPr="00A70F2C" w:rsidRDefault="00A70F2C" w:rsidP="007D432F">
      <w:pPr>
        <w:pStyle w:val="ListParagraph"/>
        <w:numPr>
          <w:ilvl w:val="1"/>
          <w:numId w:val="7"/>
        </w:numPr>
        <w:spacing w:after="200"/>
        <w:rPr>
          <w:rFonts w:ascii="Helvetica" w:hAnsi="Helvetica" w:cs="Segoe UI"/>
          <w:bCs/>
          <w:color w:val="404040" w:themeColor="text1" w:themeTint="BF"/>
          <w:sz w:val="18"/>
          <w:szCs w:val="18"/>
        </w:rPr>
      </w:pPr>
      <w:r w:rsidRPr="00A70F2C">
        <w:rPr>
          <w:rFonts w:ascii="Helvetica" w:hAnsi="Helvetica" w:cs="Segoe UI"/>
          <w:bCs/>
          <w:color w:val="404040" w:themeColor="text1" w:themeTint="BF"/>
          <w:sz w:val="18"/>
          <w:szCs w:val="18"/>
        </w:rPr>
        <w:t>Business continuity p</w:t>
      </w:r>
      <w:r w:rsidR="007D432F" w:rsidRPr="00A70F2C">
        <w:rPr>
          <w:rFonts w:ascii="Helvetica" w:hAnsi="Helvetica" w:cs="Segoe UI"/>
          <w:bCs/>
          <w:color w:val="404040" w:themeColor="text1" w:themeTint="BF"/>
          <w:sz w:val="18"/>
          <w:szCs w:val="18"/>
        </w:rPr>
        <w:t>lanning</w:t>
      </w:r>
    </w:p>
    <w:p w14:paraId="761A3F58" w14:textId="6A108B09" w:rsidR="00EF74B4" w:rsidRPr="00A70F2C" w:rsidRDefault="00A70F2C" w:rsidP="00EF74B4">
      <w:pPr>
        <w:pStyle w:val="ListParagraph"/>
        <w:numPr>
          <w:ilvl w:val="1"/>
          <w:numId w:val="7"/>
        </w:numPr>
        <w:spacing w:after="200"/>
        <w:rPr>
          <w:rFonts w:ascii="Helvetica" w:hAnsi="Helvetica" w:cs="Segoe UI"/>
          <w:bCs/>
          <w:color w:val="404040" w:themeColor="text1" w:themeTint="BF"/>
          <w:sz w:val="18"/>
          <w:szCs w:val="18"/>
        </w:rPr>
      </w:pPr>
      <w:r w:rsidRPr="00A70F2C">
        <w:rPr>
          <w:rFonts w:ascii="Helvetica" w:hAnsi="Helvetica" w:cs="Segoe UI"/>
          <w:bCs/>
          <w:color w:val="404040" w:themeColor="text1" w:themeTint="BF"/>
          <w:sz w:val="18"/>
          <w:szCs w:val="18"/>
        </w:rPr>
        <w:t>Coordination of risk control and insurance s</w:t>
      </w:r>
      <w:r w:rsidR="007D432F" w:rsidRPr="00A70F2C">
        <w:rPr>
          <w:rFonts w:ascii="Helvetica" w:hAnsi="Helvetica" w:cs="Segoe UI"/>
          <w:bCs/>
          <w:color w:val="404040" w:themeColor="text1" w:themeTint="BF"/>
          <w:sz w:val="18"/>
          <w:szCs w:val="18"/>
        </w:rPr>
        <w:t>ervices</w:t>
      </w:r>
    </w:p>
    <w:sectPr w:rsidR="00EF74B4" w:rsidRPr="00A70F2C" w:rsidSect="00223D06">
      <w:headerReference w:type="default" r:id="rId8"/>
      <w:footerReference w:type="default" r:id="rId9"/>
      <w:pgSz w:w="12240" w:h="15840"/>
      <w:pgMar w:top="576"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8D7B" w14:textId="77777777" w:rsidR="00223D06" w:rsidRDefault="00223D06" w:rsidP="00223D06">
      <w:r>
        <w:separator/>
      </w:r>
    </w:p>
  </w:endnote>
  <w:endnote w:type="continuationSeparator" w:id="0">
    <w:p w14:paraId="668D78C2" w14:textId="77777777" w:rsidR="00223D06" w:rsidRDefault="00223D06" w:rsidP="002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LT Std">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9943" w14:textId="096D0230" w:rsidR="00223D06" w:rsidRDefault="00192A21" w:rsidP="00223D06">
    <w:pPr>
      <w:pStyle w:val="Footer"/>
      <w:jc w:val="right"/>
    </w:pPr>
    <w:r>
      <w:rPr>
        <w:noProof/>
        <w:lang w:eastAsia="en-US"/>
      </w:rPr>
      <w:drawing>
        <wp:anchor distT="0" distB="0" distL="114300" distR="114300" simplePos="0" relativeHeight="251663360" behindDoc="0" locked="0" layoutInCell="1" allowOverlap="1" wp14:anchorId="04CF273B" wp14:editId="60B3957A">
          <wp:simplePos x="0" y="0"/>
          <wp:positionH relativeFrom="column">
            <wp:posOffset>6499860</wp:posOffset>
          </wp:positionH>
          <wp:positionV relativeFrom="paragraph">
            <wp:posOffset>-149225</wp:posOffset>
          </wp:positionV>
          <wp:extent cx="579170" cy="554784"/>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70" cy="554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E011" w14:textId="77777777" w:rsidR="00223D06" w:rsidRDefault="00223D06" w:rsidP="00223D06">
      <w:r>
        <w:separator/>
      </w:r>
    </w:p>
  </w:footnote>
  <w:footnote w:type="continuationSeparator" w:id="0">
    <w:p w14:paraId="2906ECCC" w14:textId="77777777" w:rsidR="00223D06" w:rsidRDefault="00223D06" w:rsidP="002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9B39" w14:textId="38379C21" w:rsidR="00223D06" w:rsidRDefault="00206204" w:rsidP="00223D06">
    <w:pPr>
      <w:pStyle w:val="Header"/>
      <w:jc w:val="center"/>
    </w:pPr>
    <w:r>
      <w:rPr>
        <w:noProof/>
        <w:lang w:eastAsia="en-US"/>
      </w:rPr>
      <mc:AlternateContent>
        <mc:Choice Requires="wps">
          <w:drawing>
            <wp:anchor distT="0" distB="0" distL="114300" distR="114300" simplePos="0" relativeHeight="251662336" behindDoc="0" locked="0" layoutInCell="1" allowOverlap="1" wp14:anchorId="0E5A8044" wp14:editId="2605F699">
              <wp:simplePos x="0" y="0"/>
              <wp:positionH relativeFrom="column">
                <wp:align>center</wp:align>
              </wp:positionH>
              <wp:positionV relativeFrom="paragraph">
                <wp:posOffset>0</wp:posOffset>
              </wp:positionV>
              <wp:extent cx="698182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3985"/>
                      </a:xfrm>
                      <a:prstGeom prst="rect">
                        <a:avLst/>
                      </a:prstGeom>
                      <a:noFill/>
                      <a:ln w="9525">
                        <a:noFill/>
                        <a:miter lim="800000"/>
                        <a:headEnd/>
                        <a:tailEnd/>
                      </a:ln>
                    </wps:spPr>
                    <wps:txbx>
                      <w:txbxContent>
                        <w:p w14:paraId="6CD41B15" w14:textId="71A1B131" w:rsidR="00223D06" w:rsidRPr="00A70F2C" w:rsidRDefault="007D432F" w:rsidP="007D432F">
                          <w:pPr>
                            <w:jc w:val="center"/>
                            <w:rPr>
                              <w:rFonts w:ascii="Helvetica" w:hAnsi="Helvetica"/>
                              <w:color w:val="EB9C0F" w:themeColor="accent1"/>
                              <w:sz w:val="18"/>
                            </w:rPr>
                          </w:pPr>
                          <w:r w:rsidRPr="00A70F2C">
                            <w:rPr>
                              <w:rFonts w:ascii="Helvetica" w:hAnsi="Helvetica" w:cs="Segoe UI"/>
                              <w:color w:val="EB9C0F" w:themeColor="accent1"/>
                              <w:sz w:val="40"/>
                              <w:szCs w:val="40"/>
                            </w:rPr>
                            <w:t>SURETY PERFORMANCE SYSTEM™ BROCHURE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A8044" id="_x0000_t202" coordsize="21600,21600" o:spt="202" path="m,l,21600r21600,l21600,xe">
              <v:stroke joinstyle="miter"/>
              <v:path gradientshapeok="t" o:connecttype="rect"/>
            </v:shapetype>
            <v:shape id="Text Box 2" o:spid="_x0000_s1027" type="#_x0000_t202" style="position:absolute;left:0;text-align:left;margin-left:0;margin-top:0;width:549.7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" filled="f" stroked="f">
              <v:textbox style="mso-fit-shape-to-text:t">
                <w:txbxContent>
                  <w:p w14:paraId="6CD41B15" w14:textId="71A1B131" w:rsidR="00223D06" w:rsidRPr="00A70F2C" w:rsidRDefault="007D432F" w:rsidP="007D432F">
                    <w:pPr>
                      <w:jc w:val="center"/>
                      <w:rPr>
                        <w:rFonts w:ascii="Helvetica" w:hAnsi="Helvetica"/>
                        <w:color w:val="EB9C0F" w:themeColor="accent1"/>
                        <w:sz w:val="18"/>
                      </w:rPr>
                    </w:pPr>
                    <w:r w:rsidRPr="00A70F2C">
                      <w:rPr>
                        <w:rFonts w:ascii="Helvetica" w:hAnsi="Helvetica" w:cs="Segoe UI"/>
                        <w:color w:val="EB9C0F" w:themeColor="accent1"/>
                        <w:sz w:val="40"/>
                        <w:szCs w:val="40"/>
                      </w:rPr>
                      <w:t>SURETY PERFORMANCE SYSTEM™ BROCHURE</w:t>
                    </w:r>
                  </w:p>
                </w:txbxContent>
              </v:textbox>
            </v:shape>
          </w:pict>
        </mc:Fallback>
      </mc:AlternateContent>
    </w:r>
    <w:r w:rsidR="00223D06">
      <w:rPr>
        <w:noProof/>
        <w:lang w:eastAsia="en-US"/>
      </w:rPr>
      <mc:AlternateContent>
        <mc:Choice Requires="wps">
          <w:drawing>
            <wp:anchor distT="0" distB="0" distL="114300" distR="114300" simplePos="0" relativeHeight="251661312" behindDoc="0" locked="0" layoutInCell="1" allowOverlap="1" wp14:anchorId="36F07012" wp14:editId="486D762E">
              <wp:simplePos x="0" y="0"/>
              <wp:positionH relativeFrom="column">
                <wp:posOffset>-333375</wp:posOffset>
              </wp:positionH>
              <wp:positionV relativeFrom="paragraph">
                <wp:posOffset>-314325</wp:posOffset>
              </wp:positionV>
              <wp:extent cx="74580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047750"/>
                      </a:xfrm>
                      <a:prstGeom prst="rect">
                        <a:avLst/>
                      </a:prstGeom>
                      <a:noFill/>
                      <a:ln w="9525">
                        <a:noFill/>
                        <a:miter lim="800000"/>
                        <a:headEnd/>
                        <a:tailEnd/>
                      </a:ln>
                    </wps:spPr>
                    <wps:txbx>
                      <w:txbxContent>
                        <w:p w14:paraId="5265EB2B" w14:textId="6527079E" w:rsidR="00223D06" w:rsidRDefault="00223D06">
                          <w:r w:rsidRPr="00223D06">
                            <w:rPr>
                              <w:noProof/>
                              <w:sz w:val="48"/>
                              <w:lang w:eastAsia="en-US"/>
                            </w:rPr>
                            <w:drawing>
                              <wp:inline distT="0" distB="0" distL="0" distR="0" wp14:anchorId="255C2137" wp14:editId="32A6D1D7">
                                <wp:extent cx="7315200" cy="9631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782" cy="9683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07012" id="_x0000_s1028" type="#_x0000_t202" style="position:absolute;left:0;text-align:left;margin-left:-26.25pt;margin-top:-24.75pt;width:587.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" filled="f" stroked="f">
              <v:textbox>
                <w:txbxContent>
                  <w:p w14:paraId="5265EB2B" w14:textId="6527079E" w:rsidR="00223D06" w:rsidRDefault="00223D06">
                    <w:r w:rsidRPr="00223D06">
                      <w:rPr>
                        <w:noProof/>
                        <w:sz w:val="48"/>
                        <w:lang w:eastAsia="en-US"/>
                      </w:rPr>
                      <w:drawing>
                        <wp:inline distT="0" distB="0" distL="0" distR="0" wp14:anchorId="255C2137" wp14:editId="32A6D1D7">
                          <wp:extent cx="7315200" cy="9631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782" cy="96839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A7D"/>
    <w:multiLevelType w:val="hybridMultilevel"/>
    <w:tmpl w:val="C2084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B03526"/>
    <w:multiLevelType w:val="hybridMultilevel"/>
    <w:tmpl w:val="861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6894"/>
    <w:multiLevelType w:val="hybridMultilevel"/>
    <w:tmpl w:val="A402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E48AE"/>
    <w:multiLevelType w:val="hybridMultilevel"/>
    <w:tmpl w:val="9546356A"/>
    <w:lvl w:ilvl="0" w:tplc="70701972">
      <w:start w:val="1"/>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80848"/>
    <w:multiLevelType w:val="hybridMultilevel"/>
    <w:tmpl w:val="D168F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03AF2"/>
    <w:multiLevelType w:val="hybridMultilevel"/>
    <w:tmpl w:val="9BDA9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16"/>
    <w:rsid w:val="00056C84"/>
    <w:rsid w:val="000C03E6"/>
    <w:rsid w:val="00100B45"/>
    <w:rsid w:val="00192A21"/>
    <w:rsid w:val="00206204"/>
    <w:rsid w:val="00223D06"/>
    <w:rsid w:val="004F7EA2"/>
    <w:rsid w:val="00533040"/>
    <w:rsid w:val="005828AE"/>
    <w:rsid w:val="007D432F"/>
    <w:rsid w:val="00910D74"/>
    <w:rsid w:val="00A70F2C"/>
    <w:rsid w:val="00B60716"/>
    <w:rsid w:val="00CA06AB"/>
    <w:rsid w:val="00E145DB"/>
    <w:rsid w:val="00EF74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989527"/>
  <w15:docId w15:val="{147A0937-4770-462A-96F4-6366204F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0C03E6"/>
    <w:rPr>
      <w:sz w:val="22"/>
      <w:szCs w:val="22"/>
    </w:rPr>
    <w:tblPr>
      <w:tblStyleRowBandSize w:val="1"/>
      <w:tblStyleColBandSize w:val="1"/>
      <w:tblBorders>
        <w:top w:val="single" w:sz="8" w:space="0" w:color="EB9C0F" w:themeColor="accent1"/>
        <w:left w:val="single" w:sz="8" w:space="0" w:color="EB9C0F" w:themeColor="accent1"/>
        <w:bottom w:val="single" w:sz="8" w:space="0" w:color="EB9C0F" w:themeColor="accent1"/>
        <w:right w:val="single" w:sz="8" w:space="0" w:color="EB9C0F" w:themeColor="accent1"/>
        <w:insideH w:val="single" w:sz="8" w:space="0" w:color="EB9C0F" w:themeColor="accent1"/>
        <w:insideV w:val="single" w:sz="8" w:space="0" w:color="EB9C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9C0F" w:themeColor="accent1"/>
          <w:left w:val="single" w:sz="8" w:space="0" w:color="EB9C0F" w:themeColor="accent1"/>
          <w:bottom w:val="single" w:sz="18" w:space="0" w:color="EB9C0F" w:themeColor="accent1"/>
          <w:right w:val="single" w:sz="8" w:space="0" w:color="EB9C0F" w:themeColor="accent1"/>
          <w:insideH w:val="nil"/>
          <w:insideV w:val="single" w:sz="8" w:space="0" w:color="EB9C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9C0F" w:themeColor="accent1"/>
          <w:left w:val="single" w:sz="8" w:space="0" w:color="EB9C0F" w:themeColor="accent1"/>
          <w:bottom w:val="single" w:sz="8" w:space="0" w:color="EB9C0F" w:themeColor="accent1"/>
          <w:right w:val="single" w:sz="8" w:space="0" w:color="EB9C0F" w:themeColor="accent1"/>
          <w:insideH w:val="nil"/>
          <w:insideV w:val="single" w:sz="8" w:space="0" w:color="EB9C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9C0F" w:themeColor="accent1"/>
          <w:left w:val="single" w:sz="8" w:space="0" w:color="EB9C0F" w:themeColor="accent1"/>
          <w:bottom w:val="single" w:sz="8" w:space="0" w:color="EB9C0F" w:themeColor="accent1"/>
          <w:right w:val="single" w:sz="8" w:space="0" w:color="EB9C0F" w:themeColor="accent1"/>
        </w:tcBorders>
      </w:tcPr>
    </w:tblStylePr>
    <w:tblStylePr w:type="band1Vert">
      <w:tblPr/>
      <w:tcPr>
        <w:tcBorders>
          <w:top w:val="single" w:sz="8" w:space="0" w:color="EB9C0F" w:themeColor="accent1"/>
          <w:left w:val="single" w:sz="8" w:space="0" w:color="EB9C0F" w:themeColor="accent1"/>
          <w:bottom w:val="single" w:sz="8" w:space="0" w:color="EB9C0F" w:themeColor="accent1"/>
          <w:right w:val="single" w:sz="8" w:space="0" w:color="EB9C0F" w:themeColor="accent1"/>
        </w:tcBorders>
        <w:shd w:val="clear" w:color="auto" w:fill="FBE6C2" w:themeFill="accent1" w:themeFillTint="3F"/>
      </w:tcPr>
    </w:tblStylePr>
    <w:tblStylePr w:type="band1Horz">
      <w:tblPr/>
      <w:tcPr>
        <w:tcBorders>
          <w:top w:val="single" w:sz="8" w:space="0" w:color="EB9C0F" w:themeColor="accent1"/>
          <w:left w:val="single" w:sz="8" w:space="0" w:color="EB9C0F" w:themeColor="accent1"/>
          <w:bottom w:val="single" w:sz="8" w:space="0" w:color="EB9C0F" w:themeColor="accent1"/>
          <w:right w:val="single" w:sz="8" w:space="0" w:color="EB9C0F" w:themeColor="accent1"/>
          <w:insideV w:val="single" w:sz="8" w:space="0" w:color="EB9C0F" w:themeColor="accent1"/>
        </w:tcBorders>
        <w:shd w:val="clear" w:color="auto" w:fill="FBE6C2" w:themeFill="accent1" w:themeFillTint="3F"/>
      </w:tcPr>
    </w:tblStylePr>
    <w:tblStylePr w:type="band2Horz">
      <w:tblPr/>
      <w:tcPr>
        <w:tcBorders>
          <w:top w:val="single" w:sz="8" w:space="0" w:color="EB9C0F" w:themeColor="accent1"/>
          <w:left w:val="single" w:sz="8" w:space="0" w:color="EB9C0F" w:themeColor="accent1"/>
          <w:bottom w:val="single" w:sz="8" w:space="0" w:color="EB9C0F" w:themeColor="accent1"/>
          <w:right w:val="single" w:sz="8" w:space="0" w:color="EB9C0F" w:themeColor="accent1"/>
          <w:insideV w:val="single" w:sz="8" w:space="0" w:color="EB9C0F" w:themeColor="accent1"/>
        </w:tcBorders>
      </w:tcPr>
    </w:tblStylePr>
  </w:style>
  <w:style w:type="table" w:styleId="LightShading-Accent4">
    <w:name w:val="Light Shading Accent 4"/>
    <w:basedOn w:val="TableNormal"/>
    <w:uiPriority w:val="60"/>
    <w:rsid w:val="000C03E6"/>
    <w:rPr>
      <w:color w:val="E9981C" w:themeColor="accent4" w:themeShade="BF"/>
      <w:sz w:val="22"/>
      <w:szCs w:val="22"/>
    </w:rPr>
    <w:tblPr>
      <w:tblStyleRowBandSize w:val="1"/>
      <w:tblStyleColBandSize w:val="1"/>
      <w:tblBorders>
        <w:top w:val="single" w:sz="8" w:space="0" w:color="F1BD6D" w:themeColor="accent4"/>
        <w:bottom w:val="single" w:sz="8" w:space="0" w:color="F1BD6D" w:themeColor="accent4"/>
      </w:tblBorders>
    </w:tblPr>
    <w:tblStylePr w:type="firstRow">
      <w:pPr>
        <w:spacing w:before="0" w:after="0" w:line="240" w:lineRule="auto"/>
      </w:pPr>
      <w:rPr>
        <w:b/>
        <w:bCs/>
      </w:rPr>
      <w:tblPr/>
      <w:tcPr>
        <w:tcBorders>
          <w:top w:val="single" w:sz="8" w:space="0" w:color="F1BD6D" w:themeColor="accent4"/>
          <w:left w:val="nil"/>
          <w:bottom w:val="single" w:sz="8" w:space="0" w:color="F1BD6D" w:themeColor="accent4"/>
          <w:right w:val="nil"/>
          <w:insideH w:val="nil"/>
          <w:insideV w:val="nil"/>
        </w:tcBorders>
      </w:tcPr>
    </w:tblStylePr>
    <w:tblStylePr w:type="lastRow">
      <w:pPr>
        <w:spacing w:before="0" w:after="0" w:line="240" w:lineRule="auto"/>
      </w:pPr>
      <w:rPr>
        <w:b/>
        <w:bCs/>
      </w:rPr>
      <w:tblPr/>
      <w:tcPr>
        <w:tcBorders>
          <w:top w:val="single" w:sz="8" w:space="0" w:color="F1BD6D" w:themeColor="accent4"/>
          <w:left w:val="nil"/>
          <w:bottom w:val="single" w:sz="8" w:space="0" w:color="F1BD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A" w:themeFill="accent4" w:themeFillTint="3F"/>
      </w:tcPr>
    </w:tblStylePr>
    <w:tblStylePr w:type="band1Horz">
      <w:tblPr/>
      <w:tcPr>
        <w:tcBorders>
          <w:left w:val="nil"/>
          <w:right w:val="nil"/>
          <w:insideH w:val="nil"/>
          <w:insideV w:val="nil"/>
        </w:tcBorders>
        <w:shd w:val="clear" w:color="auto" w:fill="FBEEDA" w:themeFill="accent4" w:themeFillTint="3F"/>
      </w:tcPr>
    </w:tblStylePr>
  </w:style>
  <w:style w:type="paragraph" w:styleId="BalloonText">
    <w:name w:val="Balloon Text"/>
    <w:basedOn w:val="Normal"/>
    <w:link w:val="BalloonTextChar"/>
    <w:uiPriority w:val="99"/>
    <w:semiHidden/>
    <w:unhideWhenUsed/>
    <w:rsid w:val="00056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C84"/>
    <w:rPr>
      <w:rFonts w:ascii="Lucida Grande" w:hAnsi="Lucida Grande" w:cs="Lucida Grande"/>
      <w:sz w:val="18"/>
      <w:szCs w:val="18"/>
    </w:rPr>
  </w:style>
  <w:style w:type="paragraph" w:styleId="Header">
    <w:name w:val="header"/>
    <w:basedOn w:val="Normal"/>
    <w:link w:val="HeaderChar"/>
    <w:uiPriority w:val="99"/>
    <w:unhideWhenUsed/>
    <w:rsid w:val="00223D06"/>
    <w:pPr>
      <w:tabs>
        <w:tab w:val="center" w:pos="4680"/>
        <w:tab w:val="right" w:pos="9360"/>
      </w:tabs>
    </w:pPr>
  </w:style>
  <w:style w:type="character" w:customStyle="1" w:styleId="HeaderChar">
    <w:name w:val="Header Char"/>
    <w:basedOn w:val="DefaultParagraphFont"/>
    <w:link w:val="Header"/>
    <w:uiPriority w:val="99"/>
    <w:rsid w:val="00223D06"/>
  </w:style>
  <w:style w:type="paragraph" w:styleId="Footer">
    <w:name w:val="footer"/>
    <w:basedOn w:val="Normal"/>
    <w:link w:val="FooterChar"/>
    <w:uiPriority w:val="99"/>
    <w:unhideWhenUsed/>
    <w:rsid w:val="00223D06"/>
    <w:pPr>
      <w:tabs>
        <w:tab w:val="center" w:pos="4680"/>
        <w:tab w:val="right" w:pos="9360"/>
      </w:tabs>
    </w:pPr>
  </w:style>
  <w:style w:type="character" w:customStyle="1" w:styleId="FooterChar">
    <w:name w:val="Footer Char"/>
    <w:basedOn w:val="DefaultParagraphFont"/>
    <w:link w:val="Footer"/>
    <w:uiPriority w:val="99"/>
    <w:rsid w:val="00223D06"/>
  </w:style>
  <w:style w:type="paragraph" w:styleId="ListParagraph">
    <w:name w:val="List Paragraph"/>
    <w:basedOn w:val="Normal"/>
    <w:uiPriority w:val="34"/>
    <w:qFormat/>
    <w:rsid w:val="00EF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4450">
      <w:bodyDiv w:val="1"/>
      <w:marLeft w:val="0"/>
      <w:marRight w:val="0"/>
      <w:marTop w:val="0"/>
      <w:marBottom w:val="0"/>
      <w:divBdr>
        <w:top w:val="none" w:sz="0" w:space="0" w:color="auto"/>
        <w:left w:val="none" w:sz="0" w:space="0" w:color="auto"/>
        <w:bottom w:val="none" w:sz="0" w:space="0" w:color="auto"/>
        <w:right w:val="none" w:sz="0" w:space="0" w:color="auto"/>
      </w:divBdr>
    </w:div>
    <w:div w:id="134397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cite">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00A1E3"/>
      </a:accent5>
      <a:accent6>
        <a:srgbClr val="6E6E6E"/>
      </a:accent6>
      <a:hlink>
        <a:srgbClr val="EB9C0F"/>
      </a:hlink>
      <a:folHlink>
        <a:srgbClr val="758D8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Sitkins Group, Inc.</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Linne</dc:creator>
  <cp:lastModifiedBy>TEMPHELP</cp:lastModifiedBy>
  <cp:revision>5</cp:revision>
  <dcterms:created xsi:type="dcterms:W3CDTF">2015-12-02T19:07:00Z</dcterms:created>
  <dcterms:modified xsi:type="dcterms:W3CDTF">2016-07-08T18:36:00Z</dcterms:modified>
</cp:coreProperties>
</file>