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6229" w14:textId="0B53D250" w:rsidR="00E7244B" w:rsidRPr="00E7244B" w:rsidRDefault="00E7244B" w:rsidP="008D1C31">
      <w:pPr>
        <w:spacing w:after="120"/>
        <w:rPr>
          <w:rFonts w:ascii="Helvetica" w:hAnsi="Helvetica" w:cs="Arial"/>
          <w:b/>
          <w:sz w:val="24"/>
          <w:szCs w:val="26"/>
        </w:rPr>
      </w:pPr>
      <w:r w:rsidRPr="00E7244B">
        <w:rPr>
          <w:rFonts w:ascii="Helvetica" w:hAnsi="Helvetica" w:cs="Arial"/>
          <w:b/>
          <w:sz w:val="24"/>
          <w:szCs w:val="26"/>
        </w:rPr>
        <w:t>Objectives:</w:t>
      </w:r>
    </w:p>
    <w:p w14:paraId="488BB4E8" w14:textId="77777777" w:rsidR="00E7244B" w:rsidRPr="00E7244B" w:rsidRDefault="00E7244B" w:rsidP="00E7244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Give Producers business acumen development to help them be more successful in sales.</w:t>
      </w:r>
    </w:p>
    <w:p w14:paraId="32A8056B" w14:textId="77777777" w:rsidR="00E7244B" w:rsidRPr="00E7244B" w:rsidRDefault="00E7244B" w:rsidP="00E7244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Create a culture where Producers are aware of current events and issues and are able to translate them into what we do as insurance and risk consultants.</w:t>
      </w:r>
    </w:p>
    <w:p w14:paraId="498A4D67" w14:textId="10B78175" w:rsidR="00E7244B" w:rsidRPr="00E7244B" w:rsidRDefault="00E7244B" w:rsidP="00E7244B">
      <w:pPr>
        <w:pStyle w:val="ListParagraph"/>
        <w:numPr>
          <w:ilvl w:val="0"/>
          <w:numId w:val="19"/>
        </w:numPr>
        <w:spacing w:after="24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Help Producers be able to be effective in any situation with any client. They have a Trusted Advisor brand.</w:t>
      </w:r>
    </w:p>
    <w:p w14:paraId="7360671C" w14:textId="6AEE1874" w:rsidR="00E7244B" w:rsidRPr="00E7244B" w:rsidRDefault="00E7244B" w:rsidP="008D1C31">
      <w:pPr>
        <w:spacing w:after="120"/>
        <w:rPr>
          <w:rFonts w:ascii="Helvetica" w:hAnsi="Helvetica" w:cs="Arial"/>
          <w:b/>
          <w:sz w:val="24"/>
          <w:szCs w:val="26"/>
        </w:rPr>
      </w:pPr>
      <w:r>
        <w:rPr>
          <w:rFonts w:ascii="Helvetica" w:hAnsi="Helvetica" w:cs="Arial"/>
          <w:b/>
          <w:sz w:val="24"/>
          <w:szCs w:val="26"/>
        </w:rPr>
        <w:t>Keys to Success:</w:t>
      </w:r>
    </w:p>
    <w:p w14:paraId="5460997A" w14:textId="4A3F9A8A" w:rsidR="00E7244B" w:rsidRPr="00E7244B" w:rsidRDefault="00E7244B" w:rsidP="00E7244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Language drives culture.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This has to be</w:t>
      </w:r>
      <w:r w:rsidR="00C43208">
        <w:rPr>
          <w:rFonts w:ascii="Helvetica" w:hAnsi="Helvetica" w:cs="Arial"/>
          <w:sz w:val="24"/>
          <w:szCs w:val="26"/>
        </w:rPr>
        <w:t xml:space="preserve"> a</w:t>
      </w:r>
      <w:bookmarkStart w:id="0" w:name="_GoBack"/>
      <w:bookmarkEnd w:id="0"/>
      <w:r w:rsidRPr="00E7244B">
        <w:rPr>
          <w:rFonts w:ascii="Helvetica" w:hAnsi="Helvetica" w:cs="Arial"/>
          <w:sz w:val="24"/>
          <w:szCs w:val="26"/>
        </w:rPr>
        <w:t xml:space="preserve"> common discussion and language in the company.</w:t>
      </w:r>
    </w:p>
    <w:p w14:paraId="18ECC459" w14:textId="77777777" w:rsidR="00E7244B" w:rsidRPr="00E7244B" w:rsidRDefault="00E7244B" w:rsidP="00E7244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Be systematic. Have a plan and execute the plan.</w:t>
      </w:r>
    </w:p>
    <w:p w14:paraId="4E355ACE" w14:textId="72BCB69B" w:rsidR="00E7244B" w:rsidRPr="00E7244B" w:rsidRDefault="00E7244B" w:rsidP="00E7244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Producers have to own the expectations.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They need to drive their own activity and be accountable to the firm for their continuous learning and for sharing what they learn.</w:t>
      </w:r>
    </w:p>
    <w:p w14:paraId="6FE96DD2" w14:textId="77777777" w:rsidR="00E7244B" w:rsidRPr="00E7244B" w:rsidRDefault="00E7244B" w:rsidP="00E7244B">
      <w:pPr>
        <w:pStyle w:val="ListParagraph"/>
        <w:numPr>
          <w:ilvl w:val="0"/>
          <w:numId w:val="20"/>
        </w:numPr>
        <w:spacing w:after="24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The organization can fill the gaps and teach to common needs.</w:t>
      </w:r>
    </w:p>
    <w:p w14:paraId="177B671E" w14:textId="77777777" w:rsidR="00E7244B" w:rsidRPr="00E7244B" w:rsidRDefault="00E7244B" w:rsidP="008D1C31">
      <w:pPr>
        <w:spacing w:after="12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b/>
          <w:sz w:val="24"/>
          <w:szCs w:val="26"/>
        </w:rPr>
        <w:t>Ideas</w:t>
      </w:r>
      <w:r w:rsidRPr="00E7244B">
        <w:rPr>
          <w:rFonts w:ascii="Helvetica" w:hAnsi="Helvetica" w:cs="Arial"/>
          <w:sz w:val="24"/>
          <w:szCs w:val="26"/>
        </w:rPr>
        <w:t xml:space="preserve"> (Choose the right items below that fit your culture and the available time):</w:t>
      </w:r>
    </w:p>
    <w:p w14:paraId="6253566F" w14:textId="0050BF5B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Newspaper exercise – Each week (either in sales meetings or on own) Producers will be required to read a news periodical (Newsweek, Daily news, Economist) and give at least one example of something they read and how it relates to the “value proposition”.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Example: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Asia Airlines crash in San Francisco.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The immediate responses from the airlines created terrible reputation damage.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They didn’t have a strong PR system in place to deal with the mitigation of a major event like that.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If they had a mitigation plan with a relationship with a US PR company, and an internal policy of who talks to media, they could have avoided the bad press.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This will cost them millions in reputational losses over the next few years.</w:t>
      </w:r>
    </w:p>
    <w:p w14:paraId="3227BD50" w14:textId="379248F5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proofErr w:type="spellStart"/>
      <w:r w:rsidRPr="00E7244B">
        <w:rPr>
          <w:rFonts w:ascii="Helvetica" w:hAnsi="Helvetica" w:cs="Arial"/>
          <w:sz w:val="24"/>
          <w:szCs w:val="26"/>
        </w:rPr>
        <w:t>Advisen</w:t>
      </w:r>
      <w:proofErr w:type="spellEnd"/>
      <w:r w:rsidRPr="00E7244B">
        <w:rPr>
          <w:rFonts w:ascii="Helvetica" w:hAnsi="Helvetica" w:cs="Arial"/>
          <w:sz w:val="24"/>
          <w:szCs w:val="26"/>
        </w:rPr>
        <w:t xml:space="preserve"> FPN – Have Producers read </w:t>
      </w:r>
      <w:proofErr w:type="spellStart"/>
      <w:r w:rsidRPr="00E7244B">
        <w:rPr>
          <w:rFonts w:ascii="Helvetica" w:hAnsi="Helvetica" w:cs="Arial"/>
          <w:sz w:val="24"/>
          <w:szCs w:val="26"/>
        </w:rPr>
        <w:t>Advisen</w:t>
      </w:r>
      <w:proofErr w:type="spellEnd"/>
      <w:r w:rsidRPr="00E7244B">
        <w:rPr>
          <w:rFonts w:ascii="Helvetica" w:hAnsi="Helvetica" w:cs="Arial"/>
          <w:sz w:val="24"/>
          <w:szCs w:val="26"/>
        </w:rPr>
        <w:t xml:space="preserve"> FPN daily.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Each week they are required to give one example of something they read and how it relates to the “value proposition”</w:t>
      </w:r>
    </w:p>
    <w:p w14:paraId="39966980" w14:textId="77777777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proofErr w:type="spellStart"/>
      <w:r w:rsidRPr="00E7244B">
        <w:rPr>
          <w:rFonts w:ascii="Helvetica" w:hAnsi="Helvetica" w:cs="Arial"/>
          <w:sz w:val="24"/>
          <w:szCs w:val="26"/>
        </w:rPr>
        <w:t>Advisen</w:t>
      </w:r>
      <w:proofErr w:type="spellEnd"/>
      <w:r w:rsidRPr="00E7244B">
        <w:rPr>
          <w:rFonts w:ascii="Helvetica" w:hAnsi="Helvetica" w:cs="Arial"/>
          <w:sz w:val="24"/>
          <w:szCs w:val="26"/>
        </w:rPr>
        <w:t xml:space="preserve"> Digital Digest – Same as above but centered around Emerging risks of Digital / Cyber issues.</w:t>
      </w:r>
    </w:p>
    <w:p w14:paraId="5A5A1942" w14:textId="2D0790E1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lastRenderedPageBreak/>
        <w:t>Seeking out Emerging Risks – Each Producer is required to identify one emerging risk per month and present it to the other Producers.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Emerging risks are one of three areas:</w:t>
      </w:r>
    </w:p>
    <w:p w14:paraId="4D87D6F0" w14:textId="77777777" w:rsidR="00E7244B" w:rsidRPr="00E7244B" w:rsidRDefault="00E7244B" w:rsidP="00E7244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Increased frequency (becoming popular topic like gay rights, equality in workforce, healthcare reform issues, etc.)</w:t>
      </w:r>
    </w:p>
    <w:p w14:paraId="6F4D867B" w14:textId="77777777" w:rsidR="00E7244B" w:rsidRPr="00E7244B" w:rsidRDefault="00E7244B" w:rsidP="00E7244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Increased severity (courts giving larger awards, bigger public outcry, etc.)</w:t>
      </w:r>
    </w:p>
    <w:p w14:paraId="0C2D1FF6" w14:textId="5A9DC45F" w:rsidR="00E7244B" w:rsidRPr="00E7244B" w:rsidRDefault="00E7244B" w:rsidP="00E7244B">
      <w:pPr>
        <w:pStyle w:val="ListParagraph"/>
        <w:numPr>
          <w:ilvl w:val="1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New risk that didn’t exist pr</w:t>
      </w:r>
      <w:r>
        <w:rPr>
          <w:rFonts w:ascii="Helvetica" w:hAnsi="Helvetica" w:cs="Arial"/>
          <w:sz w:val="24"/>
          <w:szCs w:val="26"/>
        </w:rPr>
        <w:t>eviously</w:t>
      </w:r>
      <w:r w:rsidRPr="00E7244B">
        <w:rPr>
          <w:rFonts w:ascii="Helvetica" w:hAnsi="Helvetica" w:cs="Arial"/>
          <w:sz w:val="24"/>
          <w:szCs w:val="26"/>
        </w:rPr>
        <w:t xml:space="preserve"> (social media specifics, new cyber-attacks, etc.)</w:t>
      </w:r>
    </w:p>
    <w:p w14:paraId="3A2FDCD6" w14:textId="2B67ED6D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proofErr w:type="spellStart"/>
      <w:r w:rsidRPr="00E7244B">
        <w:rPr>
          <w:rFonts w:ascii="Helvetica" w:hAnsi="Helvetica" w:cs="Arial"/>
          <w:sz w:val="24"/>
          <w:szCs w:val="26"/>
        </w:rPr>
        <w:t>InCite</w:t>
      </w:r>
      <w:proofErr w:type="spellEnd"/>
      <w:r w:rsidRPr="00E7244B">
        <w:rPr>
          <w:rFonts w:ascii="Helvetica" w:hAnsi="Helvetica" w:cs="Arial"/>
          <w:sz w:val="24"/>
          <w:szCs w:val="26"/>
        </w:rPr>
        <w:t xml:space="preserve"> </w:t>
      </w:r>
      <w:proofErr w:type="spellStart"/>
      <w:r w:rsidRPr="00E7244B">
        <w:rPr>
          <w:rFonts w:ascii="Helvetica" w:hAnsi="Helvetica" w:cs="Arial"/>
          <w:sz w:val="24"/>
          <w:szCs w:val="26"/>
        </w:rPr>
        <w:t>Wikirisk</w:t>
      </w:r>
      <w:proofErr w:type="spellEnd"/>
      <w:r w:rsidRPr="00E7244B">
        <w:rPr>
          <w:rFonts w:ascii="Helvetica" w:hAnsi="Helvetica" w:cs="Arial"/>
          <w:sz w:val="24"/>
          <w:szCs w:val="26"/>
        </w:rPr>
        <w:t xml:space="preserve"> – Must read weekly/monthly one risk and give </w:t>
      </w:r>
      <w:r>
        <w:rPr>
          <w:rFonts w:ascii="Helvetica" w:hAnsi="Helvetica" w:cs="Arial"/>
          <w:sz w:val="24"/>
          <w:szCs w:val="26"/>
        </w:rPr>
        <w:t xml:space="preserve">a </w:t>
      </w:r>
      <w:r w:rsidRPr="00E7244B">
        <w:rPr>
          <w:rFonts w:ascii="Helvetica" w:hAnsi="Helvetica" w:cs="Arial"/>
          <w:sz w:val="24"/>
          <w:szCs w:val="26"/>
        </w:rPr>
        <w:t xml:space="preserve">report on what </w:t>
      </w:r>
      <w:r>
        <w:rPr>
          <w:rFonts w:ascii="Helvetica" w:hAnsi="Helvetica" w:cs="Arial"/>
          <w:sz w:val="24"/>
          <w:szCs w:val="26"/>
        </w:rPr>
        <w:t xml:space="preserve">was </w:t>
      </w:r>
      <w:r w:rsidRPr="00E7244B">
        <w:rPr>
          <w:rFonts w:ascii="Helvetica" w:hAnsi="Helvetica" w:cs="Arial"/>
          <w:sz w:val="24"/>
          <w:szCs w:val="26"/>
        </w:rPr>
        <w:t>learned.</w:t>
      </w:r>
    </w:p>
    <w:p w14:paraId="5937C79F" w14:textId="77777777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Read “Seeing the Big Picture” by Kevin Cope – Take notes when reading and submit notes/journaling to leadership when finished.</w:t>
      </w:r>
    </w:p>
    <w:p w14:paraId="4BF1FC59" w14:textId="43D3FEF3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Books – Identify other books to understand broader risks. Same homework as above.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Could allow a recommended reading list that they choose from and read.</w:t>
      </w:r>
    </w:p>
    <w:p w14:paraId="1D6AB727" w14:textId="1D519BC4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Passion development – Individually work with Producers to identify areas of passion where they want to invest time in learning.</w:t>
      </w:r>
      <w:r>
        <w:rPr>
          <w:rFonts w:ascii="Helvetica" w:hAnsi="Helvetica" w:cs="Arial"/>
          <w:sz w:val="24"/>
          <w:szCs w:val="26"/>
        </w:rPr>
        <w:t xml:space="preserve"> It could be e</w:t>
      </w:r>
      <w:r w:rsidRPr="00E7244B">
        <w:rPr>
          <w:rFonts w:ascii="Helvetica" w:hAnsi="Helvetica" w:cs="Arial"/>
          <w:sz w:val="24"/>
          <w:szCs w:val="26"/>
        </w:rPr>
        <w:t xml:space="preserve">nvironmental risks, financial risks, HR, Healthcare Reform, </w:t>
      </w:r>
      <w:r>
        <w:rPr>
          <w:rFonts w:ascii="Helvetica" w:hAnsi="Helvetica" w:cs="Arial"/>
          <w:sz w:val="24"/>
          <w:szCs w:val="26"/>
        </w:rPr>
        <w:t xml:space="preserve">or </w:t>
      </w:r>
      <w:r w:rsidRPr="00E7244B">
        <w:rPr>
          <w:rFonts w:ascii="Helvetica" w:hAnsi="Helvetica" w:cs="Arial"/>
          <w:sz w:val="24"/>
          <w:szCs w:val="26"/>
        </w:rPr>
        <w:t>Strategic ROHC.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Suggest getting with</w:t>
      </w:r>
      <w:r>
        <w:rPr>
          <w:rFonts w:ascii="Helvetica" w:hAnsi="Helvetica" w:cs="Arial"/>
          <w:sz w:val="24"/>
          <w:szCs w:val="26"/>
        </w:rPr>
        <w:t xml:space="preserve"> an</w:t>
      </w:r>
      <w:r w:rsidRPr="00E7244B">
        <w:rPr>
          <w:rFonts w:ascii="Helvetica" w:hAnsi="Helvetica" w:cs="Arial"/>
          <w:sz w:val="24"/>
          <w:szCs w:val="26"/>
        </w:rPr>
        <w:t xml:space="preserve"> Advisor (one on one) to identify and put specific developmental plan together.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Suggestion is to focus on an area where emerging risks exist.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Greater value will come from that focus.</w:t>
      </w:r>
    </w:p>
    <w:p w14:paraId="22011E53" w14:textId="2CD56164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Bring an example to sales meeting – All avenues above could be sources for the requirement to bring an example to sales meeting.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You may or may not get called on each meeting.</w:t>
      </w:r>
    </w:p>
    <w:p w14:paraId="1FF510C0" w14:textId="77777777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Someone “owns it” each sales meeting – Same philosophy as item above but it is pre-assigned to have someone present on a business acumen item each sales meeting.</w:t>
      </w:r>
    </w:p>
    <w:p w14:paraId="17904AE1" w14:textId="300BF673" w:rsidR="00E7244B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Build a book of info – Create a document (book) on all the items presented at sales meetings, turned in separately, and developed on teams.</w:t>
      </w:r>
      <w:r>
        <w:rPr>
          <w:rFonts w:ascii="Helvetica" w:hAnsi="Helvetica" w:cs="Arial"/>
          <w:sz w:val="24"/>
          <w:szCs w:val="26"/>
        </w:rPr>
        <w:t xml:space="preserve"> </w:t>
      </w:r>
      <w:r w:rsidRPr="00E7244B">
        <w:rPr>
          <w:rFonts w:ascii="Helvetica" w:hAnsi="Helvetica" w:cs="Arial"/>
          <w:sz w:val="24"/>
          <w:szCs w:val="26"/>
        </w:rPr>
        <w:t>This would allow for a training guide for future salespeople.</w:t>
      </w:r>
    </w:p>
    <w:p w14:paraId="51A181F7" w14:textId="5BEC17A4" w:rsidR="001717D1" w:rsidRPr="00E7244B" w:rsidRDefault="00E7244B" w:rsidP="00E7244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Helvetica" w:hAnsi="Helvetica" w:cs="Arial"/>
          <w:sz w:val="24"/>
          <w:szCs w:val="26"/>
        </w:rPr>
      </w:pPr>
      <w:r w:rsidRPr="00E7244B">
        <w:rPr>
          <w:rFonts w:ascii="Helvetica" w:hAnsi="Helvetica" w:cs="Arial"/>
          <w:sz w:val="24"/>
          <w:szCs w:val="26"/>
        </w:rPr>
        <w:t>Give rewards – Rewards for execution of items above and beyond the plan will improve the culture of the organization to be stronger in business acumen.</w:t>
      </w:r>
    </w:p>
    <w:sectPr w:rsidR="001717D1" w:rsidRPr="00E7244B" w:rsidSect="008642C0">
      <w:headerReference w:type="default" r:id="rId7"/>
      <w:footerReference w:type="default" r:id="rId8"/>
      <w:pgSz w:w="12240" w:h="15840"/>
      <w:pgMar w:top="23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1601" w14:textId="77777777" w:rsidR="009C6898" w:rsidRDefault="009C6898" w:rsidP="005C561B">
      <w:pPr>
        <w:spacing w:after="0" w:line="240" w:lineRule="auto"/>
      </w:pPr>
      <w:r>
        <w:separator/>
      </w:r>
    </w:p>
  </w:endnote>
  <w:endnote w:type="continuationSeparator" w:id="0">
    <w:p w14:paraId="68D3E187" w14:textId="77777777" w:rsidR="009C6898" w:rsidRDefault="009C6898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C56B" w14:textId="0350209B" w:rsidR="00C8339E" w:rsidRDefault="00C8339E" w:rsidP="00606850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F752" wp14:editId="7B1AB442">
          <wp:simplePos x="0" y="0"/>
          <wp:positionH relativeFrom="margin">
            <wp:posOffset>5943600</wp:posOffset>
          </wp:positionH>
          <wp:positionV relativeFrom="paragraph">
            <wp:posOffset>-219710</wp:posOffset>
          </wp:positionV>
          <wp:extent cx="536494" cy="53649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Cite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692" w14:textId="77777777" w:rsidR="009C6898" w:rsidRDefault="009C6898" w:rsidP="005C561B">
      <w:pPr>
        <w:spacing w:after="0" w:line="240" w:lineRule="auto"/>
      </w:pPr>
      <w:r>
        <w:separator/>
      </w:r>
    </w:p>
  </w:footnote>
  <w:footnote w:type="continuationSeparator" w:id="0">
    <w:p w14:paraId="2C5B4EE2" w14:textId="77777777" w:rsidR="009C6898" w:rsidRDefault="009C6898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C72" w14:textId="60A38DED" w:rsidR="00C72F0F" w:rsidRPr="00E7244B" w:rsidRDefault="00C8339E" w:rsidP="00E7244B">
    <w:pPr>
      <w:spacing w:before="120" w:after="80" w:line="240" w:lineRule="auto"/>
      <w:jc w:val="center"/>
      <w:rPr>
        <w:rFonts w:ascii="Helvetica" w:eastAsia="Times New Roman" w:hAnsi="Helvetica" w:cs="Arial"/>
        <w:color w:val="EB9C0F" w:themeColor="accent1"/>
        <w:sz w:val="44"/>
        <w:szCs w:val="48"/>
      </w:rPr>
    </w:pPr>
    <w:r w:rsidRPr="00E7244B">
      <w:rPr>
        <w:rFonts w:ascii="Helvetica" w:hAnsi="Helvetica"/>
        <w:noProof/>
        <w:color w:val="EB9C0F" w:themeColor="accent1"/>
        <w:sz w:val="18"/>
      </w:rPr>
      <w:drawing>
        <wp:anchor distT="0" distB="0" distL="114300" distR="114300" simplePos="0" relativeHeight="251657216" behindDoc="1" locked="0" layoutInCell="1" allowOverlap="1" wp14:anchorId="5839402B" wp14:editId="08A62EF2">
          <wp:simplePos x="0" y="0"/>
          <wp:positionH relativeFrom="margin">
            <wp:posOffset>-676275</wp:posOffset>
          </wp:positionH>
          <wp:positionV relativeFrom="paragraph">
            <wp:posOffset>-52705</wp:posOffset>
          </wp:positionV>
          <wp:extent cx="7294880" cy="852805"/>
          <wp:effectExtent l="0" t="0" r="0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DB2" w:rsidRPr="00E7244B">
      <w:rPr>
        <w:rFonts w:ascii="Helvetica" w:eastAsia="Times New Roman" w:hAnsi="Helvetica" w:cs="Arial"/>
        <w:color w:val="EB9C0F" w:themeColor="accent1"/>
        <w:sz w:val="44"/>
        <w:szCs w:val="48"/>
      </w:rPr>
      <w:t>BUSINESS ACUMEN</w:t>
    </w:r>
    <w:r w:rsidR="00E7244B" w:rsidRPr="00E7244B">
      <w:rPr>
        <w:rFonts w:ascii="Helvetica" w:eastAsia="Times New Roman" w:hAnsi="Helvetica" w:cs="Arial"/>
        <w:color w:val="EB9C0F" w:themeColor="accent1"/>
        <w:sz w:val="44"/>
        <w:szCs w:val="48"/>
      </w:rPr>
      <w:t xml:space="preserve"> DEVELOPMENTAL PLAN IDEAS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25EFA"/>
    <w:multiLevelType w:val="hybridMultilevel"/>
    <w:tmpl w:val="DE1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966"/>
    <w:multiLevelType w:val="hybridMultilevel"/>
    <w:tmpl w:val="94E49A96"/>
    <w:lvl w:ilvl="0" w:tplc="0B7E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C0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8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90439"/>
    <w:multiLevelType w:val="hybridMultilevel"/>
    <w:tmpl w:val="5528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74BF1"/>
    <w:multiLevelType w:val="hybridMultilevel"/>
    <w:tmpl w:val="62DC259E"/>
    <w:lvl w:ilvl="0" w:tplc="8DE6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C87"/>
    <w:multiLevelType w:val="hybridMultilevel"/>
    <w:tmpl w:val="91E69CE6"/>
    <w:lvl w:ilvl="0" w:tplc="90F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8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C198F"/>
    <w:multiLevelType w:val="hybridMultilevel"/>
    <w:tmpl w:val="684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71E72"/>
    <w:multiLevelType w:val="hybridMultilevel"/>
    <w:tmpl w:val="3F8E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3227"/>
    <w:multiLevelType w:val="hybridMultilevel"/>
    <w:tmpl w:val="90D6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8"/>
  </w:num>
  <w:num w:numId="11">
    <w:abstractNumId w:val="13"/>
  </w:num>
  <w:num w:numId="12">
    <w:abstractNumId w:val="7"/>
  </w:num>
  <w:num w:numId="13">
    <w:abstractNumId w:val="17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D"/>
    <w:rsid w:val="0002409B"/>
    <w:rsid w:val="00024289"/>
    <w:rsid w:val="00035E8D"/>
    <w:rsid w:val="00055CFB"/>
    <w:rsid w:val="0008273B"/>
    <w:rsid w:val="000B358E"/>
    <w:rsid w:val="000D3A3F"/>
    <w:rsid w:val="000E362F"/>
    <w:rsid w:val="000E560F"/>
    <w:rsid w:val="001077DE"/>
    <w:rsid w:val="00107B24"/>
    <w:rsid w:val="00111F90"/>
    <w:rsid w:val="001231C2"/>
    <w:rsid w:val="001717D1"/>
    <w:rsid w:val="001749FD"/>
    <w:rsid w:val="00176041"/>
    <w:rsid w:val="001E0D49"/>
    <w:rsid w:val="001F6864"/>
    <w:rsid w:val="00202731"/>
    <w:rsid w:val="00206A2C"/>
    <w:rsid w:val="002A2A95"/>
    <w:rsid w:val="002B305E"/>
    <w:rsid w:val="00306B31"/>
    <w:rsid w:val="00307F79"/>
    <w:rsid w:val="00386C08"/>
    <w:rsid w:val="003A7202"/>
    <w:rsid w:val="003C3A0A"/>
    <w:rsid w:val="00403EC0"/>
    <w:rsid w:val="004415A2"/>
    <w:rsid w:val="004C299A"/>
    <w:rsid w:val="004E189E"/>
    <w:rsid w:val="0050190C"/>
    <w:rsid w:val="005420E9"/>
    <w:rsid w:val="00560DB2"/>
    <w:rsid w:val="005657BE"/>
    <w:rsid w:val="005A68FD"/>
    <w:rsid w:val="005C561B"/>
    <w:rsid w:val="00602E33"/>
    <w:rsid w:val="00606850"/>
    <w:rsid w:val="00632DF0"/>
    <w:rsid w:val="0064206C"/>
    <w:rsid w:val="00657FB3"/>
    <w:rsid w:val="00721EBE"/>
    <w:rsid w:val="007325B0"/>
    <w:rsid w:val="007B3779"/>
    <w:rsid w:val="007C4A31"/>
    <w:rsid w:val="007D390A"/>
    <w:rsid w:val="008642C0"/>
    <w:rsid w:val="00883CC4"/>
    <w:rsid w:val="008D1C31"/>
    <w:rsid w:val="008D2C82"/>
    <w:rsid w:val="009075D6"/>
    <w:rsid w:val="00924A6D"/>
    <w:rsid w:val="0095296F"/>
    <w:rsid w:val="009C6898"/>
    <w:rsid w:val="00A033A8"/>
    <w:rsid w:val="00A317F8"/>
    <w:rsid w:val="00A8091A"/>
    <w:rsid w:val="00A839CE"/>
    <w:rsid w:val="00AB1F2A"/>
    <w:rsid w:val="00B158A7"/>
    <w:rsid w:val="00B20F88"/>
    <w:rsid w:val="00B31227"/>
    <w:rsid w:val="00B555B3"/>
    <w:rsid w:val="00B65D0D"/>
    <w:rsid w:val="00B75C7F"/>
    <w:rsid w:val="00B85A29"/>
    <w:rsid w:val="00B90299"/>
    <w:rsid w:val="00BB0C53"/>
    <w:rsid w:val="00C43208"/>
    <w:rsid w:val="00C65990"/>
    <w:rsid w:val="00C72F0F"/>
    <w:rsid w:val="00C8339E"/>
    <w:rsid w:val="00C837CE"/>
    <w:rsid w:val="00DF2C1E"/>
    <w:rsid w:val="00DF3893"/>
    <w:rsid w:val="00E11E55"/>
    <w:rsid w:val="00E25A5E"/>
    <w:rsid w:val="00E26E78"/>
    <w:rsid w:val="00E309D0"/>
    <w:rsid w:val="00E30A71"/>
    <w:rsid w:val="00E572B5"/>
    <w:rsid w:val="00E7244B"/>
    <w:rsid w:val="00E86486"/>
    <w:rsid w:val="00F82C4F"/>
    <w:rsid w:val="1DFF76FF"/>
    <w:rsid w:val="6C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9747CA"/>
  <w15:docId w15:val="{804F88F1-EA7C-4ACE-8DB9-D20D3DD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paragraph" w:styleId="NormalWeb">
    <w:name w:val="Normal (Web)"/>
    <w:basedOn w:val="Normal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Courtney McCoach</cp:lastModifiedBy>
  <cp:revision>4</cp:revision>
  <dcterms:created xsi:type="dcterms:W3CDTF">2017-01-18T14:47:00Z</dcterms:created>
  <dcterms:modified xsi:type="dcterms:W3CDTF">2017-01-19T18:31:00Z</dcterms:modified>
</cp:coreProperties>
</file>